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5C36E" w14:textId="0AF06626" w:rsidR="00A24123" w:rsidRPr="00D85255" w:rsidRDefault="00894C20" w:rsidP="00A2412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D85255">
        <w:rPr>
          <w:rFonts w:ascii="Times New Roman" w:hAnsi="Times New Roman" w:cs="Times New Roman"/>
          <w:sz w:val="24"/>
          <w:szCs w:val="24"/>
          <w:lang w:val="sr-Cyrl-RS"/>
        </w:rPr>
        <w:t>11. децембра 2024. године</w:t>
      </w:r>
    </w:p>
    <w:p w14:paraId="49A75CAE" w14:textId="77777777" w:rsidR="00A24123" w:rsidRPr="00D85255" w:rsidRDefault="00A24123" w:rsidP="00A24123">
      <w:pPr>
        <w:rPr>
          <w:rFonts w:ascii="Times New Roman" w:hAnsi="Times New Roman" w:cs="Times New Roman"/>
          <w:sz w:val="24"/>
          <w:szCs w:val="24"/>
        </w:rPr>
      </w:pPr>
      <w:r w:rsidRPr="00D85255">
        <w:rPr>
          <w:rFonts w:ascii="Times New Roman" w:hAnsi="Times New Roman" w:cs="Times New Roman"/>
          <w:sz w:val="24"/>
          <w:szCs w:val="24"/>
        </w:rPr>
        <w:t xml:space="preserve">ЈАВНИ ПОЗИВ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идентификованих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25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14:paraId="349B53A8" w14:textId="3B35E85E" w:rsidR="0082073D" w:rsidRPr="00D85255" w:rsidRDefault="00A24123" w:rsidP="00A241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финансираће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202</w:t>
      </w:r>
      <w:r w:rsidR="00894C20" w:rsidRPr="00D85255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8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акције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25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proofErr w:type="gram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омогућава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решавању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локалних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мањих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захвата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уређењу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социјалне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ромске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популације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  <w:lang w:val="sr-Cyrl-RS"/>
        </w:rPr>
        <w:t>, младих, посебно младих школског узраста</w:t>
      </w:r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>.</w:t>
      </w:r>
    </w:p>
    <w:p w14:paraId="45E522B5" w14:textId="04F6B336" w:rsidR="00A24123" w:rsidRPr="00D85255" w:rsidRDefault="00A24123" w:rsidP="00A24123">
      <w:pPr>
        <w:jc w:val="both"/>
        <w:rPr>
          <w:rFonts w:ascii="Times New Roman" w:hAnsi="Times New Roman" w:cs="Times New Roman"/>
          <w:sz w:val="24"/>
          <w:szCs w:val="24"/>
        </w:rPr>
      </w:pPr>
      <w:r w:rsidRPr="00D8525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односити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захвате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паркова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дечијих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игралишта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терена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дрвореда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шеталишта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неуређених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зелених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прилаза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>,</w:t>
      </w:r>
      <w:r w:rsidR="00894C20"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20" w:rsidRPr="00D85255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20" w:rsidRPr="00D85255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4C20" w:rsidRPr="00D85255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20" w:rsidRPr="00D85255">
        <w:rPr>
          <w:rFonts w:ascii="Times New Roman" w:hAnsi="Times New Roman" w:cs="Times New Roman"/>
          <w:sz w:val="24"/>
          <w:szCs w:val="24"/>
        </w:rPr>
        <w:t>дворишта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</w:rPr>
        <w:t>,</w:t>
      </w:r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уклањање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мањих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дивљих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депонија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Пројекти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894C20" w:rsidRPr="00D85255">
        <w:rPr>
          <w:rFonts w:ascii="Times New Roman" w:hAnsi="Times New Roman" w:cs="Times New Roman"/>
          <w:sz w:val="24"/>
          <w:szCs w:val="24"/>
          <w:lang w:val="sr-Cyrl-RS"/>
        </w:rPr>
        <w:t xml:space="preserve"> и младих</w:t>
      </w:r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односити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неопходне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7148F5" w14:textId="77777777" w:rsidR="00A24123" w:rsidRPr="00D85255" w:rsidRDefault="00A24123" w:rsidP="00A24123">
      <w:pPr>
        <w:jc w:val="both"/>
        <w:rPr>
          <w:rFonts w:ascii="Times New Roman" w:hAnsi="Times New Roman" w:cs="Times New Roman"/>
          <w:sz w:val="24"/>
          <w:szCs w:val="24"/>
        </w:rPr>
      </w:pPr>
      <w:r w:rsidRPr="00D8525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учествовања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неформалне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Лесковца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окупљене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око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Потписници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покретачи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иницијативе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тј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измиреном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пореском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обавезом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пребивалиште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акција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унапреди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категорија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>.</w:t>
      </w:r>
    </w:p>
    <w:p w14:paraId="4F089241" w14:textId="68B93EE3" w:rsidR="00A24123" w:rsidRPr="00D85255" w:rsidRDefault="00D85255" w:rsidP="00D85255">
      <w:pPr>
        <w:jc w:val="both"/>
        <w:rPr>
          <w:rFonts w:ascii="Times New Roman" w:hAnsi="Times New Roman" w:cs="Times New Roman"/>
          <w:sz w:val="24"/>
          <w:szCs w:val="24"/>
        </w:rPr>
      </w:pPr>
      <w:r w:rsidRPr="00D8525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укупно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9.000.000,00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ПДВ-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Одлуком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допуни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Лесковца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буџетске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линије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3 –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локални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определио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5.500.000,00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обезбеђена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наплату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3.500.000,00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обезбеђена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Општински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Источној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III –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Одговорне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5255">
        <w:rPr>
          <w:rFonts w:ascii="Times New Roman" w:hAnsi="Times New Roman" w:cs="Times New Roman"/>
          <w:sz w:val="24"/>
          <w:szCs w:val="24"/>
        </w:rPr>
        <w:t>грађана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финансира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швајцарска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8525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D85255">
        <w:rPr>
          <w:rFonts w:ascii="Times New Roman" w:hAnsi="Times New Roman" w:cs="Times New Roman"/>
          <w:sz w:val="24"/>
          <w:szCs w:val="24"/>
        </w:rPr>
        <w:t xml:space="preserve"> HELVETAS SWISS INTERCOOPERATION SRB.</w:t>
      </w:r>
    </w:p>
    <w:sectPr w:rsidR="00A24123" w:rsidRPr="00D85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C9"/>
    <w:rsid w:val="0082073D"/>
    <w:rsid w:val="00894C20"/>
    <w:rsid w:val="00A24123"/>
    <w:rsid w:val="00C120C9"/>
    <w:rsid w:val="00D8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37C8"/>
  <w15:chartTrackingRefBased/>
  <w15:docId w15:val="{5CBBEDE1-B463-4E02-A61D-41F6856A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Djordje</cp:lastModifiedBy>
  <cp:revision>3</cp:revision>
  <dcterms:created xsi:type="dcterms:W3CDTF">2023-05-24T10:28:00Z</dcterms:created>
  <dcterms:modified xsi:type="dcterms:W3CDTF">2024-12-11T11:18:00Z</dcterms:modified>
</cp:coreProperties>
</file>